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88</w:t>
      </w:r>
    </w:p>
    <w:p>
      <w:r>
        <w:t>Bundesgericht (BGE), 1986-09-17, DE</w:t>
      </w:r>
    </w:p>
    <w:p>
      <w:r>
        <w:rPr>
          <w:b/>
        </w:rPr>
        <w:t xml:space="preserve">Quelle: </w:t>
      </w:r>
      <w:r>
        <w:t>https://mcp.opencaselaw.ch/entscheid/bge_112 III 88</w:t>
      </w:r>
    </w:p>
    <w:p>
      <w:r>
        <w:t>FR: ATF 112 III 88</w:t>
      </w:r>
    </w:p>
    <w:p>
      <w:r>
        <w:t>IT: DTF 112 III 88</w:t>
      </w:r>
    </w:p>
    <w:p>
      <w:pPr>
        <w:pStyle w:val="Heading2"/>
      </w:pPr>
      <w:r>
        <w:t>Regeste</w:t>
      </w:r>
    </w:p>
    <w:p>
      <w:r>
        <w:t>Regeste Art. 82 Abs. 1 SchKG; Schuldanerkennung, die von einem Vertreter des Betriebenen unterzeichnet ist. Es verstösst auch dann nicht gegen Art. 4 BV, gestützt auf die von einem Vertreter unterzeichnete Schuldanerkennung provisorische Rechtsöffnung zu erteilen, wenn keine schriftliche Vollmacht des Betriebenen vorliegt.</w:t>
      </w:r>
    </w:p>
    <w:p>
      <w:pPr>
        <w:pStyle w:val="Heading2"/>
      </w:pPr>
      <w:r>
        <w:t>Erwägungen</w:t>
      </w:r>
    </w:p>
    <w:p>
      <w:r>
        <w:rPr>
          <w:b/>
        </w:rPr>
        <w:t>E. 2</w:t>
      </w:r>
    </w:p>
    <w:p>
      <w:r>
        <w:t>a) Der Beschwerdeführer stellt nicht in Abrede, dass eine Schuldanerkennung auch dann einen gültigen Rechtsöffnungstitel darstellen kann, wenn sie nicht durch den betriebenen Schuldner persönlich, sondern durch einen Vertreter unterzeichnet worden ist. Indessen ist er der Ansicht, die Unterschrift des Schuldners müsse in einem solchen Fall wenigstens auf einer entsprechenden schriftlichen Vollmacht angebracht sein. b) Das dem schweizerischen Recht eigene Verfahren der provisorischen Rechtsöffnung schafft für den Betreibungsgläubiger insofern eine Erleichterung, als dieser, falls der Schuldner die Schuld anerkannt hat, zur Zwangsvollstreckung schreiten kann, ohne den Richter anrufen zu müssen, und der Schuldner, der sich dieser widersetzen will, seinerseits in die Rolle des Klägers (auf Aberkennung der Forderung) gedrängt wird. Der angeführte Weg steht dem Gläubiger allerdings nur unter der Voraussetzung offen, dass die Schuldanerkennung durch öffentliche Urkunde festgestellt oder "durch Unterschrift bekräftigt" wurde ( Art. 82 Abs. 1 SchKG ). c) In der Praxis der kantonalen Rechtsöffnungsinstanzen wird die zur Beurteilung stehende Frage nicht einheitlich beantwortet. BGE 112 III 88 S. 89 Während in gewissen Entscheiden mit dem Beschwerdeführer angenommen wird, die unterschriftliche Anerkennung einer Schuld durch einen Dritten bilde gegenüber dem nach dem Wortlaut der Urkunde Verpflichteten nur dann einen Rechtsöffnungstitel, wenn ein Auftrag an den Dritten zur Schuldanerkennung urkundlich ausgewiesen sei (vgl. PANCHAUD/CAPREZ, Die Rechtsöffnung 1980, § 5, Nrn. 2 und 16), wurde in andern Fällen ein konkludentes Verhalten des vertretenen Schuldners als ausreichend betrachtet (vgl. PANCHAUD/CAPREZ, § 5, Nrn. 1 und 17). Der zweiten, weniger strengen Auffassung ist auch JAEGER, der unter Hinweis auf die allgemeinen Bestimmungen über die Stellvertretung ( Art. 32 ff. OR ) festhält, dass dort, wo durch ein vertragliches Stellvertretungsverhältnis oder sonstwie die Wirksamkeit der Unterschrift eines andern für den Betriebenen liquid ausgewiesen sei, auch die Unterschrift eines Dritten als Stellvertreter im Hinblick auf die provisorische Rechtsöffnung genüge (N. 3 zu Art. 82 SchKG ). Es ist einzuräumen, dass namentlich die Strenge, die das Rechtsöffnungsverfahren in formeller Hinsicht an sich prägt, für die Betrachtungsweise des Beschwerdeführers spricht. Andererseits wird aber nirgends ausdrücklich vorgeschrieben, dass dort, wo eine Schuldanerkennung durch einen Vertreter unterschrieben wird (was auch der Beschwerdeführer nicht für unzulässig hält), das Vertretungsverhältnis durch eine vom Schuldner unterzeichnete schriftliche Vollmacht dargetan sein müsse. Die Auffassung des Appellationshofes ist jedenfalls nicht vollkommen unhaltbar; weder verstösst sie krass gegen eine Norm oder einen unumstrittenen Rechtsgrundsatz, noch läuft sie in stossender Weise dem Gerechtigkeitsgedanken zuwider (vgl. BGE 107 Ia 114 E. 2 mit Hinweisen). Der Hinweis des Beschwerdeführers auf BGE 106 III 97 ff. vermag am Gesagten nichts zu ändern. Jenes Urteil hatte eine andere Frage zum Gegenstand, nämlich diejenige, ob die stillschweigende Genehmigung eines Kontokorrentauszuges in Verbindung mit dem vom Schuldner unterzeichneten Krediteröffnungsvertrag eine Anerkennung des passiven Kontosaldos darstelle. Die Verhältnisse liegen im zu beurteilenden Fall somit insofern wesentlich anders, als hier eine ausdrückliche schriftliche (wenn auch von einem Vertreter des Beschwerdeführers unterzeichnete) Anerkennung vorhanden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